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內文"/>
        <w:shd w:val="clear" w:color="auto" w:fill="ffffff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</w:tabs>
        <w:bidi w:val="0"/>
        <w:spacing w:before="180" w:after="180" w:line="20" w:lineRule="atLeast"/>
        <w:ind w:left="0" w:right="0" w:firstLine="0"/>
        <w:jc w:val="center"/>
        <w:outlineLvl w:val="1"/>
        <w:rPr>
          <w:rFonts w:ascii="標楷體" w:cs="標楷體" w:hAnsi="標楷體" w:eastAsia="標楷體"/>
          <w:kern w:val="2"/>
          <w:sz w:val="40"/>
          <w:szCs w:val="40"/>
          <w:u w:val="single" w:color="000000"/>
          <w:rtl w:val="0"/>
          <w:lang w:val="zh-TW" w:eastAsia="zh-TW"/>
        </w:rPr>
      </w:pPr>
      <w:r>
        <w:rPr>
          <w:rFonts w:eastAsia="標楷體" w:hint="eastAsia"/>
          <w:kern w:val="2"/>
          <w:sz w:val="40"/>
          <w:szCs w:val="40"/>
          <w:u w:val="single" w:color="000000"/>
          <w:rtl w:val="0"/>
          <w:lang w:val="zh-TW" w:eastAsia="zh-TW"/>
        </w:rPr>
        <w:t>素養導向教學實踐策略檢核表</w:t>
      </w:r>
    </w:p>
    <w:tbl>
      <w:tblPr>
        <w:tblW w:w="9628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80"/>
        <w:gridCol w:w="1843"/>
        <w:gridCol w:w="5805"/>
      </w:tblGrid>
      <w:tr>
        <w:tblPrEx>
          <w:shd w:val="clear" w:color="auto" w:fill="ced7e7"/>
        </w:tblPrEx>
        <w:trPr>
          <w:trHeight w:val="580" w:hRule="atLeast"/>
        </w:trPr>
        <w:tc>
          <w:tcPr>
            <w:tcW w:type="dxa" w:w="1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內文"/>
              <w:tabs>
                <w:tab w:val="left" w:pos="480"/>
                <w:tab w:val="left" w:pos="960"/>
                <w:tab w:val="left" w:pos="1440"/>
                <w:tab w:val="left" w:pos="1920"/>
              </w:tabs>
              <w:bidi w:val="0"/>
              <w:spacing w:line="20" w:lineRule="atLeast"/>
              <w:ind w:left="0" w:right="0" w:firstLine="0"/>
              <w:jc w:val="center"/>
              <w:outlineLvl w:val="1"/>
              <w:rPr>
                <w:rFonts w:ascii="標楷體" w:cs="標楷體" w:hAnsi="標楷體" w:eastAsia="標楷體"/>
                <w:kern w:val="2"/>
                <w:sz w:val="28"/>
                <w:szCs w:val="28"/>
                <w:u w:color="000000"/>
                <w:shd w:val="nil" w:color="auto" w:fill="auto"/>
                <w:rtl w:val="0"/>
              </w:rPr>
            </w:pPr>
            <w:r>
              <w:rPr>
                <w:rFonts w:eastAsia="標楷體" w:hint="eastAsia"/>
                <w:kern w:val="2"/>
                <w:sz w:val="28"/>
                <w:szCs w:val="28"/>
                <w:u w:color="000000"/>
                <w:shd w:val="nil" w:color="auto" w:fill="auto"/>
                <w:rtl w:val="0"/>
                <w:lang w:val="zh-TW" w:eastAsia="zh-TW"/>
              </w:rPr>
              <w:t>素養導向</w:t>
            </w:r>
          </w:p>
          <w:p>
            <w:pPr>
              <w:pStyle w:val="內文"/>
              <w:tabs>
                <w:tab w:val="left" w:pos="480"/>
                <w:tab w:val="left" w:pos="960"/>
                <w:tab w:val="left" w:pos="1440"/>
                <w:tab w:val="left" w:pos="1920"/>
              </w:tabs>
              <w:spacing w:line="20" w:lineRule="atLeast"/>
              <w:jc w:val="center"/>
              <w:outlineLvl w:val="1"/>
            </w:pPr>
            <w:r>
              <w:rPr>
                <w:rFonts w:eastAsia="標楷體" w:hint="eastAsia"/>
                <w:kern w:val="2"/>
                <w:sz w:val="28"/>
                <w:szCs w:val="28"/>
                <w:u w:color="000000"/>
                <w:shd w:val="nil" w:color="auto" w:fill="auto"/>
                <w:rtl w:val="0"/>
                <w:lang w:val="zh-TW" w:eastAsia="zh-TW"/>
              </w:rPr>
              <w:t>教學設計原則</w:t>
            </w:r>
          </w:p>
        </w:tc>
        <w:tc>
          <w:tcPr>
            <w:tcW w:type="dxa" w:w="18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內文"/>
              <w:tabs>
                <w:tab w:val="left" w:pos="480"/>
                <w:tab w:val="left" w:pos="960"/>
                <w:tab w:val="left" w:pos="1440"/>
              </w:tabs>
              <w:bidi w:val="0"/>
              <w:spacing w:line="20" w:lineRule="atLeast"/>
              <w:ind w:left="0" w:right="0" w:firstLine="0"/>
              <w:jc w:val="center"/>
              <w:outlineLvl w:val="1"/>
              <w:rPr>
                <w:rtl w:val="0"/>
              </w:rPr>
            </w:pPr>
            <w:r>
              <w:rPr>
                <w:rFonts w:eastAsia="標楷體" w:hint="eastAsia"/>
                <w:kern w:val="2"/>
                <w:sz w:val="28"/>
                <w:szCs w:val="28"/>
                <w:u w:color="000000"/>
                <w:shd w:val="nil" w:color="auto" w:fill="auto"/>
                <w:rtl w:val="0"/>
                <w:lang w:val="zh-TW" w:eastAsia="zh-TW"/>
              </w:rPr>
              <w:t>說明</w:t>
            </w:r>
          </w:p>
        </w:tc>
        <w:tc>
          <w:tcPr>
            <w:tcW w:type="dxa" w:w="58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內文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</w:tabs>
              <w:bidi w:val="0"/>
              <w:spacing w:line="20" w:lineRule="atLeast"/>
              <w:ind w:left="0" w:right="0" w:firstLine="0"/>
              <w:jc w:val="center"/>
              <w:outlineLvl w:val="1"/>
              <w:rPr>
                <w:rtl w:val="0"/>
              </w:rPr>
            </w:pPr>
            <w:r>
              <w:rPr>
                <w:rFonts w:ascii="Calibri" w:cs="Calibri" w:hAnsi="Calibri" w:eastAsia="Calibri" w:hint="eastAsia"/>
                <w:kern w:val="2"/>
                <w:sz w:val="28"/>
                <w:szCs w:val="28"/>
                <w:u w:color="000000"/>
                <w:shd w:val="nil" w:color="auto" w:fill="auto"/>
                <w:rtl w:val="0"/>
                <w:lang w:val="zh-TW" w:eastAsia="zh-TW"/>
              </w:rPr>
              <w:t>本單元教學實踐策略</w:t>
            </w:r>
          </w:p>
        </w:tc>
      </w:tr>
      <w:tr>
        <w:tblPrEx>
          <w:shd w:val="clear" w:color="auto" w:fill="ced7e7"/>
        </w:tblPrEx>
        <w:trPr>
          <w:trHeight w:val="2695" w:hRule="atLeast"/>
        </w:trPr>
        <w:tc>
          <w:tcPr>
            <w:tcW w:type="dxa" w:w="1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8ecf3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內文"/>
              <w:widowControl w:val="0"/>
              <w:tabs>
                <w:tab w:val="left" w:pos="480"/>
                <w:tab w:val="left" w:pos="960"/>
                <w:tab w:val="left" w:pos="1440"/>
                <w:tab w:val="left" w:pos="1920"/>
              </w:tabs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hAnsi="標楷體"/>
                <w:kern w:val="2"/>
                <w:sz w:val="32"/>
                <w:szCs w:val="32"/>
                <w:u w:color="000000"/>
                <w:shd w:val="nil" w:color="auto" w:fill="auto"/>
                <w:rtl w:val="0"/>
                <w:lang w:val="en-US"/>
              </w:rPr>
              <w:t>1.</w:t>
            </w:r>
            <w:r>
              <w:rPr>
                <w:rFonts w:eastAsia="標楷體" w:hint="eastAsia"/>
                <w:kern w:val="2"/>
                <w:sz w:val="32"/>
                <w:szCs w:val="32"/>
                <w:u w:color="000000"/>
                <w:shd w:val="nil" w:color="auto" w:fill="auto"/>
                <w:rtl w:val="0"/>
                <w:lang w:val="zh-TW" w:eastAsia="zh-TW"/>
              </w:rPr>
              <w:t>整合知識、技能與態度</w:t>
            </w:r>
          </w:p>
        </w:tc>
        <w:tc>
          <w:tcPr>
            <w:tcW w:type="dxa" w:w="18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8ecf3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內文"/>
              <w:tabs>
                <w:tab w:val="left" w:pos="480"/>
                <w:tab w:val="left" w:pos="960"/>
                <w:tab w:val="left" w:pos="1440"/>
              </w:tabs>
              <w:bidi w:val="0"/>
              <w:spacing w:line="20" w:lineRule="atLeast"/>
              <w:ind w:left="0" w:right="0" w:firstLine="0"/>
              <w:jc w:val="both"/>
              <w:outlineLvl w:val="1"/>
              <w:rPr>
                <w:rtl w:val="0"/>
              </w:rPr>
            </w:pPr>
            <w:r>
              <w:rPr>
                <w:rFonts w:eastAsia="標楷體" w:hint="eastAsia"/>
                <w:kern w:val="2"/>
                <w:sz w:val="28"/>
                <w:szCs w:val="28"/>
                <w:u w:color="000000"/>
                <w:shd w:val="nil" w:color="auto" w:fill="auto"/>
                <w:rtl w:val="0"/>
                <w:lang w:val="zh-TW" w:eastAsia="zh-TW"/>
              </w:rPr>
              <w:t>強調學習是完整的，不應只偏廢在知識層面。</w:t>
            </w:r>
          </w:p>
        </w:tc>
        <w:tc>
          <w:tcPr>
            <w:tcW w:type="dxa" w:w="58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8ecf3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695" w:hRule="atLeast"/>
        </w:trPr>
        <w:tc>
          <w:tcPr>
            <w:tcW w:type="dxa" w:w="1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內文"/>
              <w:widowControl w:val="0"/>
              <w:tabs>
                <w:tab w:val="left" w:pos="480"/>
                <w:tab w:val="left" w:pos="960"/>
                <w:tab w:val="left" w:pos="1440"/>
                <w:tab w:val="left" w:pos="1920"/>
              </w:tabs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hAnsi="標楷體"/>
                <w:kern w:val="2"/>
                <w:sz w:val="32"/>
                <w:szCs w:val="32"/>
                <w:u w:color="000000"/>
                <w:shd w:val="nil" w:color="auto" w:fill="auto"/>
                <w:rtl w:val="0"/>
                <w:lang w:val="en-US"/>
              </w:rPr>
              <w:t>2.</w:t>
            </w:r>
            <w:r>
              <w:rPr>
                <w:rFonts w:eastAsia="標楷體" w:hint="eastAsia"/>
                <w:kern w:val="2"/>
                <w:sz w:val="32"/>
                <w:szCs w:val="32"/>
                <w:u w:color="000000"/>
                <w:shd w:val="nil" w:color="auto" w:fill="auto"/>
                <w:rtl w:val="0"/>
                <w:lang w:val="zh-TW" w:eastAsia="zh-TW"/>
              </w:rPr>
              <w:t>注重情境化、脈絡化的學習</w:t>
            </w:r>
          </w:p>
        </w:tc>
        <w:tc>
          <w:tcPr>
            <w:tcW w:type="dxa" w:w="18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內文"/>
              <w:tabs>
                <w:tab w:val="left" w:pos="480"/>
                <w:tab w:val="left" w:pos="960"/>
                <w:tab w:val="left" w:pos="1440"/>
              </w:tabs>
              <w:bidi w:val="0"/>
              <w:spacing w:line="20" w:lineRule="atLeast"/>
              <w:ind w:left="0" w:right="0" w:firstLine="0"/>
              <w:jc w:val="both"/>
              <w:outlineLvl w:val="1"/>
              <w:rPr>
                <w:rtl w:val="0"/>
              </w:rPr>
            </w:pPr>
            <w:r>
              <w:rPr>
                <w:rFonts w:eastAsia="標楷體" w:hint="eastAsia"/>
                <w:kern w:val="2"/>
                <w:sz w:val="28"/>
                <w:szCs w:val="28"/>
                <w:u w:color="000000"/>
                <w:shd w:val="nil" w:color="auto" w:fill="auto"/>
                <w:rtl w:val="0"/>
                <w:lang w:val="zh-TW" w:eastAsia="zh-TW"/>
              </w:rPr>
              <w:t>能將學習內容和過程與個人經驗、生活事件、社會情境進行適切結合。</w:t>
            </w:r>
          </w:p>
        </w:tc>
        <w:tc>
          <w:tcPr>
            <w:tcW w:type="dxa" w:w="58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695" w:hRule="atLeast"/>
        </w:trPr>
        <w:tc>
          <w:tcPr>
            <w:tcW w:type="dxa" w:w="1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8ecf3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內文"/>
              <w:widowControl w:val="0"/>
              <w:tabs>
                <w:tab w:val="left" w:pos="480"/>
                <w:tab w:val="left" w:pos="960"/>
                <w:tab w:val="left" w:pos="1440"/>
                <w:tab w:val="left" w:pos="1920"/>
              </w:tabs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hAnsi="標楷體"/>
                <w:kern w:val="2"/>
                <w:sz w:val="32"/>
                <w:szCs w:val="32"/>
                <w:u w:color="000000"/>
                <w:shd w:val="nil" w:color="auto" w:fill="auto"/>
                <w:rtl w:val="0"/>
                <w:lang w:val="en-US"/>
              </w:rPr>
              <w:t>3.</w:t>
            </w:r>
            <w:r>
              <w:rPr>
                <w:rFonts w:eastAsia="標楷體" w:hint="eastAsia"/>
                <w:kern w:val="2"/>
                <w:sz w:val="32"/>
                <w:szCs w:val="32"/>
                <w:u w:color="000000"/>
                <w:shd w:val="nil" w:color="auto" w:fill="auto"/>
                <w:rtl w:val="0"/>
                <w:lang w:val="zh-TW" w:eastAsia="zh-TW"/>
              </w:rPr>
              <w:t>兼重學習歷程、策略及方法</w:t>
            </w:r>
          </w:p>
        </w:tc>
        <w:tc>
          <w:tcPr>
            <w:tcW w:type="dxa" w:w="18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8ecf3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內文"/>
              <w:tabs>
                <w:tab w:val="left" w:pos="480"/>
                <w:tab w:val="left" w:pos="960"/>
                <w:tab w:val="left" w:pos="1440"/>
              </w:tabs>
              <w:bidi w:val="0"/>
              <w:spacing w:line="20" w:lineRule="atLeast"/>
              <w:ind w:left="0" w:right="0" w:firstLine="0"/>
              <w:jc w:val="both"/>
              <w:outlineLvl w:val="1"/>
              <w:rPr>
                <w:rtl w:val="0"/>
              </w:rPr>
            </w:pPr>
            <w:r>
              <w:rPr>
                <w:rFonts w:eastAsia="標楷體" w:hint="eastAsia"/>
                <w:kern w:val="2"/>
                <w:sz w:val="28"/>
                <w:szCs w:val="28"/>
                <w:u w:color="000000"/>
                <w:shd w:val="nil" w:color="auto" w:fill="auto"/>
                <w:rtl w:val="0"/>
                <w:lang w:val="zh-TW" w:eastAsia="zh-TW"/>
              </w:rPr>
              <w:t>課程規劃及教學設計能結合學習內容與探究歷程，以陶養學生擁有自學能力，成為終身學習者。</w:t>
            </w:r>
          </w:p>
        </w:tc>
        <w:tc>
          <w:tcPr>
            <w:tcW w:type="dxa" w:w="58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8ecf3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695" w:hRule="atLeast"/>
        </w:trPr>
        <w:tc>
          <w:tcPr>
            <w:tcW w:type="dxa" w:w="1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400"/>
              <w:bottom w:type="dxa" w:w="80"/>
              <w:right w:type="dxa" w:w="80"/>
            </w:tcMar>
            <w:vAlign w:val="center"/>
          </w:tcPr>
          <w:p>
            <w:pPr>
              <w:pStyle w:val="內文"/>
              <w:widowControl w:val="0"/>
              <w:tabs>
                <w:tab w:val="left" w:pos="480"/>
                <w:tab w:val="left" w:pos="960"/>
                <w:tab w:val="left" w:pos="1440"/>
                <w:tab w:val="left" w:pos="1920"/>
              </w:tabs>
              <w:bidi w:val="0"/>
              <w:spacing w:line="20" w:lineRule="atLeast"/>
              <w:ind w:left="320" w:right="0" w:hanging="320"/>
              <w:jc w:val="both"/>
              <w:rPr>
                <w:rtl w:val="0"/>
              </w:rPr>
            </w:pPr>
            <w:r>
              <w:rPr>
                <w:rFonts w:ascii="標楷體" w:hAnsi="標楷體"/>
                <w:kern w:val="2"/>
                <w:sz w:val="32"/>
                <w:szCs w:val="32"/>
                <w:u w:color="000000"/>
                <w:shd w:val="nil" w:color="auto" w:fill="auto"/>
                <w:rtl w:val="0"/>
                <w:lang w:val="en-US"/>
              </w:rPr>
              <w:t>4.</w:t>
            </w:r>
            <w:r>
              <w:rPr>
                <w:rFonts w:eastAsia="標楷體" w:hint="eastAsia"/>
                <w:kern w:val="2"/>
                <w:sz w:val="32"/>
                <w:szCs w:val="32"/>
                <w:u w:color="000000"/>
                <w:shd w:val="nil" w:color="auto" w:fill="auto"/>
                <w:rtl w:val="0"/>
                <w:lang w:val="zh-TW" w:eastAsia="zh-TW"/>
              </w:rPr>
              <w:t>強調實踐力行的表現</w:t>
            </w:r>
          </w:p>
        </w:tc>
        <w:tc>
          <w:tcPr>
            <w:tcW w:type="dxa" w:w="18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內文"/>
              <w:tabs>
                <w:tab w:val="left" w:pos="480"/>
                <w:tab w:val="left" w:pos="960"/>
                <w:tab w:val="left" w:pos="1440"/>
              </w:tabs>
              <w:bidi w:val="0"/>
              <w:spacing w:line="20" w:lineRule="atLeast"/>
              <w:ind w:left="0" w:right="0" w:firstLine="0"/>
              <w:jc w:val="both"/>
              <w:outlineLvl w:val="1"/>
              <w:rPr>
                <w:rtl w:val="0"/>
              </w:rPr>
            </w:pPr>
            <w:r>
              <w:rPr>
                <w:rFonts w:eastAsia="標楷體" w:hint="eastAsia"/>
                <w:kern w:val="2"/>
                <w:sz w:val="28"/>
                <w:szCs w:val="28"/>
                <w:u w:color="000000"/>
                <w:shd w:val="nil" w:color="auto" w:fill="auto"/>
                <w:rtl w:val="0"/>
                <w:lang w:val="zh-TW" w:eastAsia="zh-TW"/>
              </w:rPr>
              <w:t>讓學生能學以致用，整合所學遷移應用到其他事例，或實際活用於生活中。</w:t>
            </w:r>
          </w:p>
        </w:tc>
        <w:tc>
          <w:tcPr>
            <w:tcW w:type="dxa" w:w="58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內文"/>
        <w:widowControl w:val="0"/>
        <w:shd w:val="clear" w:color="auto" w:fill="ffffff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</w:tabs>
        <w:bidi w:val="0"/>
        <w:spacing w:before="180" w:after="180"/>
        <w:ind w:left="108" w:right="0" w:hanging="108"/>
        <w:jc w:val="center"/>
        <w:outlineLvl w:val="1"/>
        <w:rPr>
          <w:rtl w:val="0"/>
        </w:rPr>
      </w:pPr>
      <w:r>
        <w:rPr>
          <w:rFonts w:ascii="標楷體" w:cs="標楷體" w:hAnsi="標楷體" w:eastAsia="標楷體"/>
          <w:kern w:val="2"/>
          <w:sz w:val="40"/>
          <w:szCs w:val="40"/>
          <w:u w:val="single" w:color="000000"/>
          <w:rtl w:val="0"/>
          <w:lang w:val="zh-TW" w:eastAsia="zh-TW"/>
        </w:rPr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標楷體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內文">
    <w:name w:val="內文"/>
    <w:next w:val="內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 Unicode MS" w:cs="Arial Unicode MS" w:hAnsi="Arial Unicode MS" w:eastAsia="Helvetica Neue" w:hint="eastAs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zh-TW" w:eastAsia="zh-TW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Landscap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2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